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cs="Times New Roman"/>
          <w:color w:val="000000"/>
          <w:sz w:val="36"/>
          <w:szCs w:val="36"/>
        </w:rPr>
      </w:pPr>
      <w:r>
        <w:rPr>
          <w:rFonts w:hint="eastAsia" w:ascii="方正仿宋_GB18030" w:hAnsi="方正仿宋_GB18030" w:eastAsia="方正仿宋_GB18030" w:cs="方正仿宋_GB18030"/>
          <w:b/>
          <w:bCs/>
          <w:sz w:val="44"/>
          <w:szCs w:val="44"/>
          <w:lang w:val="en-US" w:eastAsia="zh-CN"/>
        </w:rPr>
        <w:t>“武汉商学院杯”2024年全国马术场地障碍锦标赛四套障碍架项目的询价文件</w:t>
      </w:r>
    </w:p>
    <w:p>
      <w:pPr>
        <w:pStyle w:val="5"/>
        <w:spacing w:before="0" w:after="0" w:line="420" w:lineRule="auto"/>
        <w:ind w:firstLine="477" w:firstLineChars="132"/>
        <w:jc w:val="left"/>
        <w:rPr>
          <w:rFonts w:ascii="黑体" w:hAnsi="黑体"/>
          <w:color w:val="000000"/>
          <w:sz w:val="36"/>
          <w:szCs w:val="36"/>
        </w:rPr>
      </w:pPr>
    </w:p>
    <w:p>
      <w:pPr>
        <w:pStyle w:val="5"/>
        <w:spacing w:before="0" w:after="0" w:line="420" w:lineRule="auto"/>
        <w:ind w:firstLine="318" w:firstLineChars="132"/>
        <w:jc w:val="left"/>
        <w:rPr>
          <w:rFonts w:eastAsia="宋体"/>
          <w:color w:val="000000"/>
          <w:sz w:val="24"/>
        </w:rPr>
      </w:pPr>
      <w:r>
        <w:rPr>
          <w:rFonts w:hint="eastAsia" w:eastAsia="宋体"/>
          <w:color w:val="000000"/>
          <w:sz w:val="24"/>
        </w:rPr>
        <w:t>一、项目概况</w:t>
      </w:r>
      <w:bookmarkStart w:id="27" w:name="_GoBack"/>
      <w:bookmarkEnd w:id="27"/>
    </w:p>
    <w:p>
      <w:pPr>
        <w:pStyle w:val="5"/>
        <w:keepNext w:val="0"/>
        <w:keepLines w:val="0"/>
        <w:pageBreakBefore w:val="0"/>
        <w:kinsoku/>
        <w:wordWrap/>
        <w:overflowPunct/>
        <w:topLinePunct w:val="0"/>
        <w:autoSpaceDE/>
        <w:autoSpaceDN/>
        <w:bidi w:val="0"/>
        <w:adjustRightInd/>
        <w:snapToGrid/>
        <w:spacing w:before="0" w:beforeAutospacing="0" w:after="0" w:afterAutospacing="0" w:line="40" w:lineRule="atLeast"/>
        <w:ind w:firstLine="482" w:firstLineChars="200"/>
        <w:jc w:val="left"/>
        <w:textAlignment w:val="auto"/>
        <w:rPr>
          <w:rFonts w:hint="eastAsia" w:ascii="宋体" w:hAnsi="宋体" w:eastAsia="宋体" w:cs="Times New Roman"/>
          <w:color w:val="000000"/>
          <w:sz w:val="24"/>
        </w:rPr>
      </w:pPr>
      <w:r>
        <w:rPr>
          <w:rFonts w:hint="eastAsia" w:ascii="宋体" w:hAnsi="宋体"/>
          <w:color w:val="000000"/>
          <w:sz w:val="24"/>
        </w:rPr>
        <w:t>1、采购内容：</w:t>
      </w:r>
      <w:r>
        <w:rPr>
          <w:rFonts w:hint="eastAsia" w:ascii="宋体" w:hAnsi="宋体" w:eastAsia="宋体" w:cs="Times New Roman"/>
          <w:b w:val="0"/>
          <w:color w:val="000000"/>
          <w:kern w:val="2"/>
          <w:sz w:val="24"/>
          <w:szCs w:val="24"/>
          <w:lang w:val="en-US" w:eastAsia="zh-CN" w:bidi="ar-SA"/>
        </w:rPr>
        <w:t>“武汉商学院杯”2024年全国马术场地障碍锦标赛四套障碍架项目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w:t>
      </w:r>
      <w:r>
        <w:rPr>
          <w:rFonts w:hint="eastAsia" w:ascii="宋体" w:hAnsi="宋体"/>
          <w:color w:val="000000"/>
          <w:sz w:val="24"/>
          <w:lang w:val="en-US" w:eastAsia="zh-CN"/>
        </w:rPr>
        <w:t>12</w:t>
      </w:r>
      <w:r>
        <w:rPr>
          <w:rFonts w:hint="eastAsia" w:ascii="宋体" w:hAnsi="宋体"/>
          <w:color w:val="000000"/>
          <w:sz w:val="24"/>
        </w:rPr>
        <w:t>万元</w:t>
      </w:r>
    </w:p>
    <w:p>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3、服务期：</w:t>
      </w:r>
      <w:r>
        <w:rPr>
          <w:rFonts w:hint="eastAsia" w:ascii="宋体" w:hAnsi="宋体"/>
          <w:color w:val="000000"/>
          <w:sz w:val="24"/>
          <w:lang w:val="en-US" w:eastAsia="zh-CN"/>
        </w:rPr>
        <w:t>1个月</w:t>
      </w:r>
    </w:p>
    <w:p>
      <w:pPr>
        <w:ind w:firstLine="482" w:firstLineChars="200"/>
        <w:rPr>
          <w:rFonts w:ascii="宋体" w:hAnsi="宋体"/>
          <w:b/>
          <w:sz w:val="24"/>
        </w:rPr>
      </w:pPr>
      <w:bookmarkStart w:id="0" w:name="_Toc24898"/>
      <w:bookmarkStart w:id="1" w:name="_Toc477179211"/>
      <w:bookmarkStart w:id="2" w:name="_Toc316286702"/>
      <w:r>
        <w:rPr>
          <w:rFonts w:hint="eastAsia" w:ascii="宋体" w:hAnsi="宋体"/>
          <w:b/>
          <w:sz w:val="24"/>
        </w:rPr>
        <w:t>二、竞标单位的要求：</w:t>
      </w:r>
    </w:p>
    <w:p>
      <w:pPr>
        <w:widowControl/>
        <w:spacing w:line="360" w:lineRule="auto"/>
        <w:ind w:firstLine="480" w:firstLineChars="200"/>
        <w:jc w:val="left"/>
        <w:rPr>
          <w:rFonts w:ascii="宋体" w:hAnsi="宋体"/>
          <w:color w:val="000000"/>
          <w:kern w:val="0"/>
          <w:sz w:val="24"/>
        </w:rPr>
      </w:pPr>
      <w:r>
        <w:rPr>
          <w:rFonts w:hint="eastAsia" w:ascii="宋体" w:hAnsi="宋体" w:cs="宋体"/>
          <w:kern w:val="0"/>
          <w:sz w:val="24"/>
          <w:lang w:val="en-US" w:eastAsia="zh-CN"/>
        </w:rPr>
        <w:t>1.</w:t>
      </w:r>
      <w:r>
        <w:rPr>
          <w:rFonts w:hint="eastAsia" w:ascii="宋体" w:hAnsi="宋体" w:cs="宋体"/>
          <w:kern w:val="0"/>
          <w:sz w:val="24"/>
        </w:rPr>
        <w:t>竞标单位应具有</w:t>
      </w:r>
      <w:r>
        <w:rPr>
          <w:rFonts w:hint="eastAsia" w:ascii="宋体" w:hAnsi="宋体" w:cs="宋体"/>
          <w:kern w:val="0"/>
          <w:sz w:val="24"/>
          <w:lang w:val="en-US" w:eastAsia="zh-CN"/>
        </w:rPr>
        <w:t>本项目</w:t>
      </w:r>
      <w:r>
        <w:rPr>
          <w:rFonts w:hint="eastAsia" w:ascii="宋体" w:hAnsi="宋体" w:cs="宋体"/>
          <w:kern w:val="0"/>
          <w:sz w:val="24"/>
        </w:rPr>
        <w:t>资质</w:t>
      </w: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6"/>
        <w:rPr>
          <w:sz w:val="24"/>
        </w:rPr>
      </w:pPr>
    </w:p>
    <w:p>
      <w:pPr>
        <w:pStyle w:val="6"/>
        <w:rPr>
          <w:sz w:val="24"/>
        </w:rPr>
      </w:pPr>
    </w:p>
    <w:p>
      <w:pPr>
        <w:pStyle w:val="6"/>
        <w:rPr>
          <w:sz w:val="24"/>
        </w:rPr>
      </w:pPr>
    </w:p>
    <w:p>
      <w:pPr>
        <w:pStyle w:val="6"/>
        <w:rPr>
          <w:sz w:val="24"/>
        </w:rPr>
      </w:pPr>
    </w:p>
    <w:p>
      <w:pPr>
        <w:pStyle w:val="6"/>
        <w:rPr>
          <w:sz w:val="24"/>
        </w:rPr>
      </w:pPr>
    </w:p>
    <w:p>
      <w:pPr>
        <w:pStyle w:val="4"/>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5"/>
        <w:spacing w:line="360" w:lineRule="auto"/>
        <w:ind w:firstLine="3694" w:firstLineChars="1150"/>
        <w:rPr>
          <w:rFonts w:ascii="Times New Roman" w:hAnsi="Times New Roman" w:eastAsia="宋体"/>
        </w:rPr>
      </w:pPr>
      <w:bookmarkStart w:id="3" w:name="_Toc19298"/>
      <w:bookmarkStart w:id="4" w:name="_Toc500864968"/>
      <w:bookmarkStart w:id="5" w:name="_Toc16452"/>
      <w:r>
        <w:rPr>
          <w:rFonts w:hint="eastAsia" w:ascii="Times New Roman" w:hAnsi="Times New Roman" w:eastAsia="宋体"/>
        </w:rPr>
        <w:t>一、封面及目录</w:t>
      </w:r>
      <w:bookmarkEnd w:id="3"/>
      <w:bookmarkEnd w:id="4"/>
      <w:bookmarkEnd w:id="5"/>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6" w:name="_Toc148516604"/>
    </w:p>
    <w:bookmarkEnd w:id="6"/>
    <w:p>
      <w:pPr>
        <w:pStyle w:val="5"/>
        <w:spacing w:line="360" w:lineRule="auto"/>
        <w:jc w:val="center"/>
        <w:rPr>
          <w:rFonts w:ascii="Times New Roman" w:hAnsi="Times New Roman" w:eastAsia="宋体"/>
        </w:rPr>
      </w:pPr>
      <w:bookmarkStart w:id="7" w:name="_Toc192994613"/>
      <w:bookmarkStart w:id="8" w:name="_Toc224660734"/>
      <w:bookmarkStart w:id="9" w:name="_Toc207445329"/>
      <w:bookmarkStart w:id="10" w:name="_Toc170811068"/>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3" w:name="_Toc3024"/>
            <w:bookmarkStart w:id="14"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5"/>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6" w:name="_Toc4771"/>
      <w:bookmarkStart w:id="17" w:name="_Toc21190"/>
      <w:bookmarkStart w:id="18" w:name="_Toc500864974"/>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4"/>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10"/>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7"/>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5"/>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5"/>
        <w:spacing w:line="360" w:lineRule="auto"/>
        <w:jc w:val="center"/>
        <w:rPr>
          <w:sz w:val="24"/>
        </w:rPr>
      </w:pPr>
      <w:r>
        <w:rPr>
          <w:rFonts w:hint="eastAsia" w:ascii="Times New Roman" w:hAnsi="Times New Roman" w:eastAsia="宋体"/>
        </w:rPr>
        <w:t>六、服务培训方案及计划</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5"/>
        <w:spacing w:line="240" w:lineRule="auto"/>
        <w:jc w:val="center"/>
        <w:rPr>
          <w:rFonts w:ascii="Times New Roman" w:hAnsi="Times New Roman" w:eastAsia="宋体"/>
        </w:rPr>
      </w:pPr>
      <w:bookmarkStart w:id="21" w:name="_Toc500864978"/>
      <w:bookmarkStart w:id="22" w:name="_Toc207445335"/>
      <w:bookmarkStart w:id="23" w:name="_Toc224660741"/>
      <w:r>
        <w:rPr>
          <w:rFonts w:hint="eastAsia" w:ascii="Times New Roman" w:hAnsi="Times New Roman" w:eastAsia="宋体"/>
        </w:rPr>
        <w:t>七、其他资料</w:t>
      </w:r>
      <w:bookmarkEnd w:id="21"/>
      <w:bookmarkEnd w:id="22"/>
      <w:bookmarkEnd w:id="23"/>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5"/>
        <w:spacing w:line="240" w:lineRule="auto"/>
        <w:jc w:val="center"/>
        <w:rPr>
          <w:rFonts w:ascii="Times New Roman" w:hAnsi="Times New Roman" w:eastAsia="宋体"/>
        </w:rPr>
      </w:pPr>
      <w:bookmarkStart w:id="24" w:name="_Toc224660742"/>
      <w:bookmarkStart w:id="25" w:name="_Toc200265873"/>
      <w:bookmarkStart w:id="26" w:name="_Toc500864979"/>
      <w:r>
        <w:rPr>
          <w:rFonts w:hint="eastAsia" w:ascii="Times New Roman" w:hAnsi="Times New Roman" w:eastAsia="宋体"/>
        </w:rPr>
        <w:t>近两年承建类似项目业绩一览表</w:t>
      </w:r>
      <w:bookmarkEnd w:id="24"/>
      <w:bookmarkEnd w:id="25"/>
      <w:bookmarkEnd w:id="26"/>
    </w:p>
    <w:tbl>
      <w:tblPr>
        <w:tblStyle w:val="10"/>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398746-5866-42E5-947B-E0F81F2740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C0107C6-F00D-4B37-97F8-C9C8C04DD801}"/>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3" w:fontKey="{81374F7E-1F6C-4046-B388-CF199F9892AE}"/>
  </w:font>
  <w:font w:name="仿宋">
    <w:panose1 w:val="02010609060101010101"/>
    <w:charset w:val="86"/>
    <w:family w:val="auto"/>
    <w:pitch w:val="default"/>
    <w:sig w:usb0="800002BF" w:usb1="38CF7CFA" w:usb2="00000016" w:usb3="00000000" w:csb0="00040001" w:csb1="00000000"/>
    <w:embedRegular r:id="rId4" w:fontKey="{43445189-E7E8-42BD-8528-7670D1CBF39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embedRegular r:id="rId5" w:fontKey="{20AE0B57-C939-4452-9F01-4CB3328CCF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2"/>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12"/>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12"/>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0Yjc0MDExZjE0YTEwYTc0ZmVlMWY5ZDc0ZDFiN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360A036E"/>
    <w:rsid w:val="3CAA788A"/>
    <w:rsid w:val="41F26751"/>
    <w:rsid w:val="44AE7523"/>
    <w:rsid w:val="46383C0F"/>
    <w:rsid w:val="69B61D6F"/>
    <w:rsid w:val="76CF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6" w:lineRule="auto"/>
      <w:outlineLvl w:val="0"/>
    </w:pPr>
    <w:rPr>
      <w:b/>
      <w:kern w:val="44"/>
      <w:sz w:val="44"/>
    </w:rPr>
  </w:style>
  <w:style w:type="paragraph" w:styleId="5">
    <w:name w:val="heading 2"/>
    <w:basedOn w:val="1"/>
    <w:next w:val="1"/>
    <w:link w:val="16"/>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ahoma" w:hAnsi="Tahoma" w:eastAsia="宋体" w:cs="Tahoma"/>
      <w:szCs w:val="24"/>
    </w:rPr>
  </w:style>
  <w:style w:type="paragraph" w:styleId="6">
    <w:name w:val="Normal Indent"/>
    <w:basedOn w:val="1"/>
    <w:autoRedefine/>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kern w:val="0"/>
      <w:sz w:val="24"/>
    </w:rPr>
  </w:style>
  <w:style w:type="character" w:styleId="12">
    <w:name w:val="page number"/>
    <w:basedOn w:val="11"/>
    <w:qFormat/>
    <w:uiPriority w:val="0"/>
  </w:style>
  <w:style w:type="character" w:customStyle="1" w:styleId="13">
    <w:name w:val="页眉 字符"/>
    <w:basedOn w:val="11"/>
    <w:link w:val="8"/>
    <w:semiHidden/>
    <w:qFormat/>
    <w:uiPriority w:val="99"/>
    <w:rPr>
      <w:sz w:val="18"/>
      <w:szCs w:val="18"/>
    </w:rPr>
  </w:style>
  <w:style w:type="character" w:customStyle="1" w:styleId="14">
    <w:name w:val="页脚 字符"/>
    <w:basedOn w:val="11"/>
    <w:link w:val="7"/>
    <w:semiHidden/>
    <w:qFormat/>
    <w:uiPriority w:val="99"/>
    <w:rPr>
      <w:sz w:val="18"/>
      <w:szCs w:val="18"/>
    </w:rPr>
  </w:style>
  <w:style w:type="character" w:customStyle="1" w:styleId="15">
    <w:name w:val="标题 1 字符"/>
    <w:basedOn w:val="11"/>
    <w:link w:val="4"/>
    <w:qFormat/>
    <w:uiPriority w:val="0"/>
    <w:rPr>
      <w:rFonts w:ascii="Calibri" w:hAnsi="Calibri" w:eastAsia="宋体" w:cs="Times New Roman"/>
      <w:b/>
      <w:kern w:val="44"/>
      <w:sz w:val="44"/>
      <w:szCs w:val="24"/>
    </w:rPr>
  </w:style>
  <w:style w:type="character" w:customStyle="1" w:styleId="16">
    <w:name w:val="标题 2 字符"/>
    <w:basedOn w:val="11"/>
    <w:link w:val="5"/>
    <w:autoRedefine/>
    <w:qFormat/>
    <w:uiPriority w:val="0"/>
    <w:rPr>
      <w:rFonts w:ascii="Arial" w:hAnsi="Arial" w:eastAsia="黑体" w:cs="Times New Roman"/>
      <w:b/>
      <w:sz w:val="32"/>
      <w:szCs w:val="24"/>
    </w:rPr>
  </w:style>
  <w:style w:type="paragraph" w:styleId="1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0</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2024-04-02T03:46:32Z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